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397D6">
      <w:pPr>
        <w:pStyle w:val="4"/>
        <w:spacing w:before="76"/>
        <w:ind w:left="1" w:right="423" w:firstLine="709"/>
        <w:jc w:val="center"/>
        <w:rPr>
          <w:color w:val="333333"/>
        </w:rPr>
      </w:pPr>
    </w:p>
    <w:p w14:paraId="5F563DA6"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color w:val="auto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>О некоторых вопросах противодействия экстремизму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ru-RU" w:eastAsia="zh-CN" w:bidi="ar"/>
        </w:rPr>
        <w:t>.</w:t>
      </w:r>
      <w:bookmarkStart w:id="0" w:name="_GoBack"/>
      <w:bookmarkEnd w:id="0"/>
    </w:p>
    <w:p w14:paraId="3206C07F">
      <w:pPr>
        <w:pStyle w:val="4"/>
        <w:spacing w:before="76"/>
        <w:ind w:left="1" w:right="423" w:firstLine="709"/>
        <w:jc w:val="both"/>
        <w:rPr>
          <w:color w:val="auto"/>
        </w:rPr>
      </w:pPr>
    </w:p>
    <w:p w14:paraId="20780070">
      <w:pPr>
        <w:pStyle w:val="4"/>
        <w:spacing w:before="76"/>
        <w:ind w:left="1" w:right="423" w:firstLine="709"/>
        <w:jc w:val="both"/>
        <w:rPr>
          <w:color w:val="auto"/>
        </w:rPr>
      </w:pPr>
      <w:r>
        <w:rPr>
          <w:color w:val="auto"/>
        </w:rPr>
        <w:t>Экстремизм во всех его проявлениях ведет к нарушению основных</w:t>
      </w:r>
      <w:r>
        <w:rPr>
          <w:color w:val="auto"/>
          <w:spacing w:val="40"/>
        </w:rPr>
        <w:t xml:space="preserve"> </w:t>
      </w:r>
      <w:r>
        <w:rPr>
          <w:color w:val="auto"/>
        </w:rPr>
        <w:t>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строя.</w:t>
      </w:r>
    </w:p>
    <w:p w14:paraId="1B503356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В целях обеспечения дальнейшей реализации государственной политики в сфере противодействия экстремизму Указом Президента утверждена Стратегия противодействия экстремизму в Российской Федерации до 2025 года, которая была разработана как основополагающий документ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органов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власти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различного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уровня,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определяющий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цели,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задачи 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основные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направления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государственной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политики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сфере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противодействия экстремизму с учетом стоящих перед Российской Федерацией вызовов и </w:t>
      </w:r>
      <w:r>
        <w:rPr>
          <w:color w:val="auto"/>
          <w:spacing w:val="-2"/>
        </w:rPr>
        <w:t>угроз.</w:t>
      </w:r>
    </w:p>
    <w:p w14:paraId="26E57CE4">
      <w:pPr>
        <w:pStyle w:val="4"/>
        <w:ind w:left="1" w:right="421" w:firstLine="709"/>
        <w:jc w:val="both"/>
        <w:rPr>
          <w:color w:val="auto"/>
        </w:rPr>
      </w:pPr>
      <w:r>
        <w:rPr>
          <w:color w:val="auto"/>
        </w:rPr>
        <w:t>Наиболее опасными проявлениями экстремизма являются возбуждение ненависти либо вражды, унижение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достоинства человека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либо группы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лиц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участию в несогласованных публичных мероприятиях (включая протестные акции) прежде всего с использованием информационно- телекоммуникационных сетей, включая сеть «Интернет».</w:t>
      </w:r>
    </w:p>
    <w:p w14:paraId="440EA438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Для достижения указанных целей усилия государства направлены на обеспечение системы мониторинга средств массовой информации и информационно-телекоммуникационных сетей, своевременного пресечения распространения экстремистских идей и выявления экстремистских материалов, в том числе содержащих призывы к подготовке и совершению террористических актов. Совершенствуются механизмы по ограничению доступа к таким ресурсам на территории Российской Федерации.</w:t>
      </w:r>
    </w:p>
    <w:p w14:paraId="57B9F7D8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Федеральным законом «О противодействии экстремистской деятельности»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установлен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перечень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действий,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относящихся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экстремистской деятельности (экстремизму).</w:t>
      </w:r>
    </w:p>
    <w:p w14:paraId="63CB279A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Положениями Федерального закона «Об информации, информационных технологиях и о защите информации» запрещается распространение в сети «Интернет»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14:paraId="4E361CFC">
      <w:pPr>
        <w:pStyle w:val="4"/>
        <w:ind w:left="0" w:leftChars="0" w:firstLine="658" w:firstLineChars="235"/>
        <w:jc w:val="both"/>
        <w:rPr>
          <w:color w:val="auto"/>
        </w:rPr>
      </w:pPr>
      <w:r>
        <w:rPr>
          <w:color w:val="auto"/>
        </w:rPr>
        <w:t>Владельцам</w:t>
      </w:r>
      <w:r>
        <w:rPr>
          <w:color w:val="auto"/>
          <w:spacing w:val="46"/>
        </w:rPr>
        <w:t xml:space="preserve"> </w:t>
      </w:r>
      <w:r>
        <w:rPr>
          <w:color w:val="auto"/>
        </w:rPr>
        <w:t>сайтов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(страниц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сайтов),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социальных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сетей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49"/>
        </w:rPr>
        <w:t xml:space="preserve"> </w:t>
      </w:r>
      <w:r>
        <w:rPr>
          <w:color w:val="auto"/>
          <w:spacing w:val="-4"/>
        </w:rPr>
        <w:t>сети</w:t>
      </w:r>
      <w:r>
        <w:rPr>
          <w:rFonts w:hint="default"/>
          <w:color w:val="auto"/>
          <w:spacing w:val="-4"/>
          <w:lang w:val="ru-RU"/>
        </w:rPr>
        <w:t xml:space="preserve"> </w:t>
      </w:r>
      <w:r>
        <w:rPr>
          <w:color w:val="auto"/>
        </w:rPr>
        <w:t>«Интернет» надлежит соблюдать вышеуказанные требования законодательства, не допускать распространения экстремистских материалов через свои ресурсы.</w:t>
      </w:r>
    </w:p>
    <w:p w14:paraId="4FED13BF">
      <w:pPr>
        <w:pStyle w:val="4"/>
        <w:ind w:left="710"/>
        <w:jc w:val="both"/>
        <w:rPr>
          <w:color w:val="auto"/>
        </w:rPr>
      </w:pPr>
      <w:r>
        <w:rPr>
          <w:color w:val="auto"/>
        </w:rPr>
        <w:t>Прокуратура</w:t>
      </w:r>
      <w:r>
        <w:rPr>
          <w:color w:val="auto"/>
          <w:spacing w:val="63"/>
          <w:w w:val="150"/>
        </w:rPr>
        <w:t xml:space="preserve"> </w:t>
      </w:r>
      <w:r>
        <w:rPr>
          <w:color w:val="auto"/>
        </w:rPr>
        <w:t>Российской</w:t>
      </w:r>
      <w:r>
        <w:rPr>
          <w:color w:val="auto"/>
          <w:spacing w:val="66"/>
          <w:w w:val="150"/>
        </w:rPr>
        <w:t xml:space="preserve"> </w:t>
      </w:r>
      <w:r>
        <w:rPr>
          <w:color w:val="auto"/>
        </w:rPr>
        <w:t>Федерации</w:t>
      </w:r>
      <w:r>
        <w:rPr>
          <w:color w:val="auto"/>
          <w:spacing w:val="66"/>
          <w:w w:val="150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66"/>
          <w:w w:val="150"/>
        </w:rPr>
        <w:t xml:space="preserve"> </w:t>
      </w:r>
      <w:r>
        <w:rPr>
          <w:color w:val="auto"/>
        </w:rPr>
        <w:t>случае</w:t>
      </w:r>
      <w:r>
        <w:rPr>
          <w:color w:val="auto"/>
          <w:spacing w:val="66"/>
          <w:w w:val="150"/>
        </w:rPr>
        <w:t xml:space="preserve"> </w:t>
      </w:r>
      <w:r>
        <w:rPr>
          <w:color w:val="auto"/>
        </w:rPr>
        <w:t>обнаружения</w:t>
      </w:r>
      <w:r>
        <w:rPr>
          <w:color w:val="auto"/>
          <w:spacing w:val="66"/>
          <w:w w:val="150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66"/>
          <w:w w:val="150"/>
        </w:rPr>
        <w:t xml:space="preserve"> </w:t>
      </w:r>
      <w:r>
        <w:rPr>
          <w:color w:val="auto"/>
          <w:spacing w:val="-4"/>
        </w:rPr>
        <w:t>сети</w:t>
      </w:r>
    </w:p>
    <w:p w14:paraId="63408CBA">
      <w:pPr>
        <w:pStyle w:val="4"/>
        <w:ind w:left="1" w:right="422"/>
        <w:jc w:val="both"/>
        <w:rPr>
          <w:rFonts w:ascii="Calibri"/>
          <w:color w:val="auto"/>
          <w:sz w:val="22"/>
        </w:rPr>
      </w:pPr>
      <w:r>
        <w:rPr>
          <w:color w:val="auto"/>
        </w:rPr>
        <w:t xml:space="preserve">«Интернет» призывов к осуществлению экстремистской деятельности, наделена полномочиями по обращению в органы Роскомнадзора с требованием о принятии мер по ограничению доступа к информации такого </w:t>
      </w:r>
      <w:r>
        <w:rPr>
          <w:color w:val="auto"/>
          <w:spacing w:val="-2"/>
        </w:rPr>
        <w:t>рода.</w:t>
      </w:r>
    </w:p>
    <w:p w14:paraId="2DB9F4BC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Кроме того, законодательством предусмотрена возможность внесудебного ограничения доступа к страницам сайтов, содержащим информационные материалы, признанные судами экстремистскими и включенные в федеральный список экстремистских материалов.</w:t>
      </w:r>
    </w:p>
    <w:p w14:paraId="1B0B5047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Органами прокуратуры района ведется активная работа по</w:t>
      </w:r>
      <w:r>
        <w:rPr>
          <w:color w:val="auto"/>
          <w:spacing w:val="40"/>
        </w:rPr>
        <w:t xml:space="preserve"> </w:t>
      </w:r>
      <w:r>
        <w:rPr>
          <w:color w:val="auto"/>
        </w:rPr>
        <w:t>мониторингу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регионального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сегмента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сети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«Интернет»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предмет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выявления запрещенного контента. В 2024 году в органы Роскомнадзора направлено 5 информаций о фактах распространения экстремистских материалов, по результатам рассмотрения которых доступ к ресурсам ограничен.</w:t>
      </w:r>
    </w:p>
    <w:p w14:paraId="63B7609C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Органы государственной власти, правоохранительные органы и органы местного самоуправления также обладают полномочиями по мониторингу сети «Интернет» в целях пресечения фактов распространения</w:t>
      </w:r>
      <w:r>
        <w:rPr>
          <w:color w:val="auto"/>
          <w:spacing w:val="80"/>
        </w:rPr>
        <w:t xml:space="preserve"> </w:t>
      </w:r>
      <w:r>
        <w:rPr>
          <w:color w:val="auto"/>
        </w:rPr>
        <w:t>экстремистских материалов.</w:t>
      </w:r>
    </w:p>
    <w:p w14:paraId="6F538D4E">
      <w:pPr>
        <w:pStyle w:val="4"/>
        <w:ind w:left="1" w:right="422" w:firstLine="709"/>
        <w:jc w:val="both"/>
        <w:rPr>
          <w:color w:val="auto"/>
        </w:rPr>
      </w:pPr>
      <w:r>
        <w:rPr>
          <w:color w:val="auto"/>
        </w:rPr>
        <w:t>Граждане, являющиеся активными пользователями сети «Интернет», в случае обнаружения противозаконных материалов также не должны оставаться в стороне и сообщать о таких фактах в компетентные органы.</w:t>
      </w:r>
    </w:p>
    <w:sectPr>
      <w:pgSz w:w="11910" w:h="16840"/>
      <w:pgMar w:top="660" w:right="425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5B675CCD"/>
    <w:rsid w:val="6FBA7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ind w:left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2025-01-21T00:30:00Z</dcterms:created>
  <dc:creator>Меницкая Анастасия Александровна</dc:creator>
  <cp:lastModifiedBy>Buh02</cp:lastModifiedBy>
  <dcterms:modified xsi:type="dcterms:W3CDTF">2025-01-21T00:37:07Z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Aspose Ltd.</vt:lpwstr>
  </property>
  <property fmtid="{D5CDD505-2E9C-101B-9397-08002B2CF9AE}" pid="4" name="GIDL 0.5YRTLW.5YVHPO.6KSPFY.">
    <vt:lpwstr>\Kg==\</vt:lpwstr>
  </property>
  <property fmtid="{D5CDD505-2E9C-101B-9397-08002B2CF9AE}" pid="5" name="LastSaved">
    <vt:filetime>2025-01-21T00:00:00Z</vt:filetime>
  </property>
  <property fmtid="{D5CDD505-2E9C-101B-9397-08002B2CF9AE}" pid="6" name="Producer">
    <vt:lpwstr>Aspose.PDF for .NET 21.2; modified using iTextSharp™ 5.5.0 ©2000-2013 iText Group NV (AGPL-version)</vt:lpwstr>
  </property>
  <property fmtid="{D5CDD505-2E9C-101B-9397-08002B2CF9AE}" pid="7" name="RegNumDateKegel">
    <vt:lpwstr>11</vt:lpwstr>
  </property>
  <property fmtid="{D5CDD505-2E9C-101B-9397-08002B2CF9AE}" pid="8" name="RegNumDateXYP">
    <vt:lpwstr>90,45:656,0054:1</vt:lpwstr>
  </property>
  <property fmtid="{D5CDD505-2E9C-101B-9397-08002B2CF9AE}" pid="9" name="RegNumKegel">
    <vt:lpwstr>8</vt:lpwstr>
  </property>
  <property fmtid="{D5CDD505-2E9C-101B-9397-08002B2CF9AE}" pid="10" name="RegNumXYP">
    <vt:lpwstr>439,98:30,78037:1</vt:lpwstr>
  </property>
  <property fmtid="{D5CDD505-2E9C-101B-9397-08002B2CF9AE}" pid="11" name="RegNumXYP 1">
    <vt:lpwstr>90,45:646,1574:1</vt:lpwstr>
  </property>
  <property fmtid="{D5CDD505-2E9C-101B-9397-08002B2CF9AE}" pid="12" name="SYSTEMID">
    <vt:lpwstr>3E535C0C41014675A8FA0A28CD1A753F</vt:lpwstr>
  </property>
  <property fmtid="{D5CDD505-2E9C-101B-9397-08002B2CF9AE}" pid="13" name="SignXYP 0.5YRTLW.5YVHPO.6KSPFY.">
    <vt:lpwstr>189,7:332,0464:1</vt:lpwstr>
  </property>
  <property fmtid="{D5CDD505-2E9C-101B-9397-08002B2CF9AE}" pid="14" name="KSOProductBuildVer">
    <vt:lpwstr>1049-12.2.0.19826</vt:lpwstr>
  </property>
  <property fmtid="{D5CDD505-2E9C-101B-9397-08002B2CF9AE}" pid="15" name="ICV">
    <vt:lpwstr>84B7837A6F5043DE99C3E042AE4E35A6_13</vt:lpwstr>
  </property>
</Properties>
</file>