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E6" w:rsidRDefault="00BC6AE6" w:rsidP="00BC6AE6">
      <w:pPr>
        <w:tabs>
          <w:tab w:val="left" w:pos="6870"/>
        </w:tabs>
        <w:jc w:val="both"/>
        <w:rPr>
          <w:b/>
          <w:bCs/>
          <w:sz w:val="25"/>
          <w:szCs w:val="25"/>
        </w:rPr>
      </w:pPr>
      <w:r w:rsidRPr="00CA4ADB">
        <w:rPr>
          <w:b/>
          <w:bCs/>
          <w:sz w:val="25"/>
          <w:szCs w:val="25"/>
        </w:rPr>
        <w:t>Об оказании услуг иностранными компаниями</w:t>
      </w:r>
    </w:p>
    <w:p w:rsidR="00BC6AE6" w:rsidRDefault="00BC6AE6" w:rsidP="00BC6AE6">
      <w:pPr>
        <w:tabs>
          <w:tab w:val="left" w:pos="6870"/>
        </w:tabs>
        <w:jc w:val="both"/>
        <w:rPr>
          <w:b/>
          <w:bCs/>
          <w:sz w:val="25"/>
          <w:szCs w:val="25"/>
        </w:rPr>
      </w:pPr>
    </w:p>
    <w:p w:rsidR="00BC6AE6" w:rsidRDefault="00BC6AE6" w:rsidP="00BC6AE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05</w:t>
      </w:r>
      <w:r w:rsidRPr="006D022C">
        <w:rPr>
          <w:rFonts w:eastAsia="Calibri"/>
          <w:b/>
          <w:lang w:eastAsia="en-US"/>
        </w:rPr>
        <w:t>.0</w:t>
      </w:r>
      <w:r>
        <w:rPr>
          <w:rFonts w:eastAsia="Calibri"/>
          <w:b/>
          <w:lang w:eastAsia="en-US"/>
        </w:rPr>
        <w:t>4</w:t>
      </w:r>
      <w:r w:rsidRPr="006D022C">
        <w:rPr>
          <w:rFonts w:eastAsia="Calibri"/>
          <w:b/>
          <w:lang w:eastAsia="en-US"/>
        </w:rPr>
        <w:t>.2021 г.</w:t>
      </w:r>
    </w:p>
    <w:p w:rsidR="00BC6AE6" w:rsidRPr="00CA4ADB" w:rsidRDefault="00BC6AE6" w:rsidP="00BC6AE6">
      <w:pPr>
        <w:tabs>
          <w:tab w:val="left" w:pos="6870"/>
        </w:tabs>
        <w:jc w:val="both"/>
        <w:rPr>
          <w:b/>
          <w:bCs/>
          <w:sz w:val="25"/>
          <w:szCs w:val="25"/>
        </w:rPr>
      </w:pP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В Федеральную службу по надзору в сфере защиты прав потребителей и благополучия человека регулярно поступают жалобы потребителей, заказавших и оплативших услуги в сети Интернет. При рассмотрении жалоб подобного рода зачастую выясняется, что контрагентами российских потребителей являются иностранные юридические лица, не имеющие представительств на территории Российской Федерации.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По общему правилу к потребительским отношениям, сторонами которых являются российские граждане и иностранные компании, применяются нормы законодательства Российской Федерации о защите прав потребителей.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Однако в информации, приведенной на Интернет-сайте иностранной компании, оказывающей услуги, нередко указывается, что отношения с потребителями регулируются нормами права государства, на территории которого она зарегистрирована. Выбор применимого права в договорах с потребителями не является нарушением, но он не может повлечь за собой лишение потребителя защиты своих основных прав.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Даже при наличии договоренности о выборе права иностранного государства для разрешения споров (учитывая, что гражданин никак не участвует в процессе согласования такого условия, а вынужден присоединиться к нему «автоматически»), потребитель вправе обратиться в суд по месту жительства, и в большинстве случаев суд сможет разрешать дело по нормам российского законодательства. Такое возможно, если, например, исполнитель осуществляет свою деятельность в России, рекламирует свою деятельность в нашей стране или если его Интернет-сайт ориентирован на российского потребителя.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Даже в том случае, если потребитель присоединился к соглашению о выборе права иностранного государства, то регламентированные российским законодательством права потребителя на информацию, безопасность и качество оказанной услуги не могут быть ущемлены. Также за потребителем сохраняется возможность взыскать с исполнителя компенсацию морального вреда и штраф за невыполнение в добровольном порядке требований потребителя, который составляет 50 % от суммы иска; действует правило, об освобождении потребителя от уплаты государственной пошлины при цене иска до 1 млн. рублей.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С осторожностью необходимо подходить к заключению договора перевозки, а также договора на оказание услуг за рубежом. В таких случаях потребитель не сможет применить российские законы, если договором не будет выбрано применимое право Российской Федерации.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 xml:space="preserve">Также рекомендуем учитывать, что эффект от судебной защиты прав потребителей в случае обращения потребителей в суд на территории Российской Федерации может быть достигнут только при наличии у России соглашения с иностранным государством об оказании правовой помощи. 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2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4696"/>
      </w:tblGrid>
      <w:tr w:rsidR="00BC6AE6" w:rsidRPr="00CA4ADB" w:rsidTr="00BC6AE6">
        <w:trPr>
          <w:trHeight w:val="261"/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b/>
                <w:bCs/>
                <w:sz w:val="25"/>
                <w:szCs w:val="25"/>
              </w:rPr>
              <w:t>Сфера деятельности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b/>
                <w:bCs/>
                <w:sz w:val="25"/>
                <w:szCs w:val="25"/>
              </w:rPr>
              <w:t>Доменное имя (адрес)</w:t>
            </w:r>
          </w:p>
        </w:tc>
      </w:tr>
      <w:tr w:rsidR="00BC6AE6" w:rsidRPr="00CA4ADB" w:rsidTr="00BC6AE6">
        <w:trPr>
          <w:trHeight w:val="284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Поиск авиабилетов, бронирование гостиницы, автомобиля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Aviasales.ru</w:t>
            </w:r>
            <w:proofErr w:type="spellEnd"/>
          </w:p>
        </w:tc>
      </w:tr>
      <w:tr w:rsidR="00BC6AE6" w:rsidRPr="00CA4ADB" w:rsidTr="00BC6AE6">
        <w:trPr>
          <w:trHeight w:val="247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Booking.com</w:t>
            </w:r>
          </w:p>
        </w:tc>
      </w:tr>
      <w:tr w:rsidR="00BC6AE6" w:rsidRPr="00CA4ADB" w:rsidTr="00BC6AE6">
        <w:trPr>
          <w:trHeight w:val="250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Kayak.ru</w:t>
            </w:r>
            <w:proofErr w:type="spellEnd"/>
          </w:p>
        </w:tc>
      </w:tr>
      <w:tr w:rsidR="00BC6AE6" w:rsidRPr="00CA4ADB" w:rsidTr="00BC6AE6">
        <w:trPr>
          <w:trHeight w:val="255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Momondo.ru</w:t>
            </w:r>
            <w:proofErr w:type="spellEnd"/>
          </w:p>
        </w:tc>
      </w:tr>
      <w:tr w:rsidR="00BC6AE6" w:rsidRPr="00CA4ADB" w:rsidTr="00BC6AE6">
        <w:trPr>
          <w:trHeight w:val="258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Ru.hotels.com</w:t>
            </w:r>
          </w:p>
        </w:tc>
      </w:tr>
      <w:tr w:rsidR="00BC6AE6" w:rsidRPr="00CA4ADB" w:rsidTr="00BC6AE6">
        <w:trPr>
          <w:trHeight w:val="263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Skyscanner.ru</w:t>
            </w:r>
            <w:proofErr w:type="spellEnd"/>
          </w:p>
        </w:tc>
      </w:tr>
      <w:tr w:rsidR="00BC6AE6" w:rsidRPr="00CA4ADB" w:rsidTr="00BC6AE6">
        <w:trPr>
          <w:trHeight w:val="238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Trivago.ru</w:t>
            </w:r>
            <w:proofErr w:type="spellEnd"/>
          </w:p>
        </w:tc>
      </w:tr>
      <w:tr w:rsidR="00BC6AE6" w:rsidRPr="00CA4ADB" w:rsidTr="00BC6AE6">
        <w:trPr>
          <w:trHeight w:val="254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Trip.com</w:t>
            </w:r>
          </w:p>
        </w:tc>
      </w:tr>
      <w:tr w:rsidR="00BC6AE6" w:rsidRPr="00CA4ADB" w:rsidTr="00BC6AE6">
        <w:trPr>
          <w:trHeight w:val="260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Автомобильные и иные перевозки, услуги такси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Gett</w:t>
            </w:r>
            <w:proofErr w:type="gramStart"/>
            <w:r w:rsidRPr="00CA4ADB">
              <w:rPr>
                <w:sz w:val="25"/>
                <w:szCs w:val="25"/>
              </w:rPr>
              <w:t>е</w:t>
            </w:r>
            <w:proofErr w:type="gramEnd"/>
            <w:r w:rsidRPr="00CA4ADB">
              <w:rPr>
                <w:sz w:val="25"/>
                <w:szCs w:val="25"/>
              </w:rPr>
              <w:t>ransfer.com</w:t>
            </w:r>
          </w:p>
        </w:tc>
      </w:tr>
      <w:tr w:rsidR="00BC6AE6" w:rsidRPr="00CA4ADB" w:rsidTr="00BC6AE6">
        <w:trPr>
          <w:trHeight w:val="251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Uber.com</w:t>
            </w:r>
          </w:p>
        </w:tc>
      </w:tr>
      <w:tr w:rsidR="00BC6AE6" w:rsidRPr="00CA4ADB" w:rsidTr="00BC6AE6">
        <w:trPr>
          <w:trHeight w:val="112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Изучение языков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Duolingo.com</w:t>
            </w:r>
          </w:p>
        </w:tc>
      </w:tr>
      <w:tr w:rsidR="00BC6AE6" w:rsidRPr="00CA4ADB" w:rsidTr="00BC6AE6">
        <w:trPr>
          <w:trHeight w:val="131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Memrise.com</w:t>
            </w:r>
          </w:p>
        </w:tc>
      </w:tr>
      <w:tr w:rsidR="00BC6AE6" w:rsidRPr="00CA4ADB" w:rsidTr="00BC6AE6">
        <w:trPr>
          <w:trHeight w:val="162"/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Образовательные курсы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Coursera.org</w:t>
            </w:r>
          </w:p>
        </w:tc>
      </w:tr>
      <w:tr w:rsidR="00BC6AE6" w:rsidRPr="00CA4ADB" w:rsidTr="00BC6AE6">
        <w:trPr>
          <w:trHeight w:val="181"/>
          <w:tblCellSpacing w:w="0" w:type="dxa"/>
        </w:trPr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Финансовые услуги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Fxclub.org</w:t>
            </w:r>
          </w:p>
        </w:tc>
      </w:tr>
      <w:tr w:rsidR="00BC6AE6" w:rsidRPr="00CA4ADB" w:rsidTr="00BC6AE6">
        <w:trPr>
          <w:trHeight w:val="212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Видеохостинг</w:t>
            </w:r>
            <w:proofErr w:type="spellEnd"/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Vimeo.com</w:t>
            </w:r>
          </w:p>
        </w:tc>
      </w:tr>
      <w:tr w:rsidR="00BC6AE6" w:rsidRPr="00CA4ADB" w:rsidTr="00BC6AE6">
        <w:trPr>
          <w:trHeight w:val="230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Youtube.com</w:t>
            </w:r>
          </w:p>
        </w:tc>
      </w:tr>
      <w:tr w:rsidR="00BC6AE6" w:rsidRPr="00CA4ADB" w:rsidTr="00BC6AE6">
        <w:trPr>
          <w:trHeight w:val="262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Видеостриминг</w:t>
            </w:r>
            <w:proofErr w:type="spellEnd"/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  <w:lang w:val="en-US"/>
              </w:rPr>
            </w:pPr>
            <w:r w:rsidRPr="00CA4ADB">
              <w:rPr>
                <w:sz w:val="25"/>
                <w:szCs w:val="25"/>
                <w:lang w:val="en-US"/>
              </w:rPr>
              <w:t>Apple.com/</w:t>
            </w:r>
            <w:proofErr w:type="spellStart"/>
            <w:r w:rsidRPr="00CA4ADB">
              <w:rPr>
                <w:sz w:val="25"/>
                <w:szCs w:val="25"/>
                <w:lang w:val="en-US"/>
              </w:rPr>
              <w:t>ru</w:t>
            </w:r>
            <w:proofErr w:type="spellEnd"/>
            <w:r w:rsidRPr="00CA4ADB">
              <w:rPr>
                <w:sz w:val="25"/>
                <w:szCs w:val="25"/>
                <w:lang w:val="en-US"/>
              </w:rPr>
              <w:t>/apple-</w:t>
            </w:r>
            <w:proofErr w:type="spellStart"/>
            <w:r w:rsidRPr="00CA4ADB">
              <w:rPr>
                <w:sz w:val="25"/>
                <w:szCs w:val="25"/>
                <w:lang w:val="en-US"/>
              </w:rPr>
              <w:t>tv</w:t>
            </w:r>
            <w:proofErr w:type="spellEnd"/>
            <w:r w:rsidRPr="00CA4ADB">
              <w:rPr>
                <w:sz w:val="25"/>
                <w:szCs w:val="25"/>
                <w:lang w:val="en-US"/>
              </w:rPr>
              <w:t>-plus</w:t>
            </w:r>
          </w:p>
        </w:tc>
      </w:tr>
      <w:tr w:rsidR="00BC6AE6" w:rsidRPr="00CA4ADB" w:rsidTr="00BC6AE6">
        <w:trPr>
          <w:trHeight w:val="238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Disneyplusoriginals.disney.com</w:t>
            </w:r>
          </w:p>
        </w:tc>
      </w:tr>
      <w:tr w:rsidR="00BC6AE6" w:rsidRPr="00CA4ADB" w:rsidTr="00BC6AE6">
        <w:trPr>
          <w:trHeight w:val="131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Primevideo.com</w:t>
            </w:r>
          </w:p>
        </w:tc>
      </w:tr>
      <w:tr w:rsidR="00BC6AE6" w:rsidRPr="00CA4ADB" w:rsidTr="00BC6AE6">
        <w:trPr>
          <w:trHeight w:val="111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Twitch.tv</w:t>
            </w:r>
            <w:proofErr w:type="spellEnd"/>
          </w:p>
        </w:tc>
      </w:tr>
      <w:tr w:rsidR="00BC6AE6" w:rsidRPr="00CA4ADB" w:rsidTr="00BC6AE6">
        <w:trPr>
          <w:trHeight w:val="132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Аудиостриминг</w:t>
            </w:r>
            <w:proofErr w:type="spellEnd"/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Deezer.com</w:t>
            </w:r>
          </w:p>
        </w:tc>
      </w:tr>
      <w:tr w:rsidR="00BC6AE6" w:rsidRPr="00CA4ADB" w:rsidTr="00BC6AE6">
        <w:trPr>
          <w:trHeight w:val="154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Music.apple.com</w:t>
            </w:r>
          </w:p>
        </w:tc>
      </w:tr>
      <w:tr w:rsidR="00BC6AE6" w:rsidRPr="00CA4ADB" w:rsidTr="00BC6AE6">
        <w:trPr>
          <w:trHeight w:val="148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Spotify.com</w:t>
            </w:r>
          </w:p>
        </w:tc>
      </w:tr>
      <w:tr w:rsidR="00BC6AE6" w:rsidRPr="00CA4ADB" w:rsidTr="00BC6AE6">
        <w:trPr>
          <w:trHeight w:val="156"/>
          <w:tblCellSpacing w:w="0" w:type="dxa"/>
        </w:trPr>
        <w:tc>
          <w:tcPr>
            <w:tcW w:w="2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Знакомства</w:t>
            </w: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Badoo.com</w:t>
            </w:r>
          </w:p>
        </w:tc>
      </w:tr>
      <w:tr w:rsidR="00BC6AE6" w:rsidRPr="00CA4ADB" w:rsidTr="00BC6AE6">
        <w:trPr>
          <w:trHeight w:val="178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r w:rsidRPr="00CA4ADB">
              <w:rPr>
                <w:sz w:val="25"/>
                <w:szCs w:val="25"/>
              </w:rPr>
              <w:t>Navechno.com</w:t>
            </w:r>
          </w:p>
        </w:tc>
      </w:tr>
      <w:tr w:rsidR="00BC6AE6" w:rsidRPr="00CA4ADB" w:rsidTr="00BC6AE6">
        <w:trPr>
          <w:trHeight w:val="172"/>
          <w:tblCellSpacing w:w="0" w:type="dxa"/>
        </w:trPr>
        <w:tc>
          <w:tcPr>
            <w:tcW w:w="249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AE6" w:rsidRPr="00CA4ADB" w:rsidRDefault="00BC6AE6" w:rsidP="00A3106A">
            <w:pPr>
              <w:tabs>
                <w:tab w:val="left" w:pos="6870"/>
              </w:tabs>
              <w:jc w:val="both"/>
              <w:rPr>
                <w:sz w:val="25"/>
                <w:szCs w:val="25"/>
              </w:rPr>
            </w:pPr>
            <w:proofErr w:type="spellStart"/>
            <w:r w:rsidRPr="00CA4ADB">
              <w:rPr>
                <w:sz w:val="25"/>
                <w:szCs w:val="25"/>
              </w:rPr>
              <w:t>Edarling.ru</w:t>
            </w:r>
            <w:proofErr w:type="spellEnd"/>
          </w:p>
        </w:tc>
      </w:tr>
    </w:tbl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Такое соглашение, например, заключено Россией с Китаем, Республикой Кипр, Финляндией, Индией, Турцией, Польшей и некоторыми другими странами. Ознакомиться с перечнем подобных соглашений можно </w:t>
      </w:r>
      <w:hyperlink r:id="rId4" w:tgtFrame="_blank" w:history="1">
        <w:r w:rsidRPr="00CA4ADB">
          <w:rPr>
            <w:rStyle w:val="a3"/>
            <w:sz w:val="25"/>
            <w:szCs w:val="25"/>
          </w:rPr>
          <w:t>на официальном сайте Министерства иностранных дел Российской Федерации</w:t>
        </w:r>
      </w:hyperlink>
      <w:r w:rsidRPr="00CA4ADB">
        <w:rPr>
          <w:sz w:val="25"/>
          <w:szCs w:val="25"/>
        </w:rPr>
        <w:t>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Во избежание сложностей при отстаивании потребительских прав, с целью своевременного получения информации о стране регистрации контрагента, потребителям рекомендуется до заключения договора ознакомиться с информацией, представленной на сайте исполнителя в сети Интернет. Чаще всего она содержится в разделах с названиями «Пользовательское соглашение», «Юридическая информация», «Условия использования» и т.п.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Следует учитывать, что многие популярные у россиян сервисы зарегистрированы на территории иностранных государств.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Это означает, что в случае возникновения у потребителей претензий, которые не удастся разрешить в порядке переговоров с компанией-контрагентом или в претензионном порядке, дело будет разрешаться судами с учетом вышеприведенных особенностей.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b/>
          <w:bCs/>
          <w:sz w:val="25"/>
          <w:szCs w:val="25"/>
        </w:rPr>
        <w:t>В переговорах с иностранными исполнителями (за исключением случаев, связанных с перевозкой и оказанием услуг за границей, например, медицинских) рекомендуем использовать следующие формулировки: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«Разрешение имущественных споров, связанных с неисполнением иностранной компанией своих обязательств, осуществляется в соответствии с нормами главы 68 Гражданского кодекса Российской Федерации (далее – ГК РФ), а пределы применения норм Закона «О защите прав потребителей» определяются в статье 1212 ГК РФ.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proofErr w:type="gramStart"/>
      <w:r w:rsidRPr="00CA4ADB">
        <w:rPr>
          <w:sz w:val="25"/>
          <w:szCs w:val="25"/>
        </w:rPr>
        <w:t xml:space="preserve">Пунктом 1 статьи 1212 предусмотрено, что выбор права, подлежащего применению к договору, стороной которого является физическое лицо, использующее, приобретающее или заказывающее либо имеющее намерение использовать, </w:t>
      </w:r>
      <w:r w:rsidRPr="00CA4ADB">
        <w:rPr>
          <w:sz w:val="25"/>
          <w:szCs w:val="25"/>
        </w:rPr>
        <w:lastRenderedPageBreak/>
        <w:t>приобрести или заказать движимые вещи (работы, услуги) для личных, семейных, домашних и иных нужд, не связанных с осуществлением предпринимательской деятельности, не может повлечь за собой лишение такого физического лица (потребителя) защиты его прав, предоставляемой императивными</w:t>
      </w:r>
      <w:proofErr w:type="gramEnd"/>
      <w:r w:rsidRPr="00CA4ADB">
        <w:rPr>
          <w:sz w:val="25"/>
          <w:szCs w:val="25"/>
        </w:rPr>
        <w:t xml:space="preserve"> нормами права страны места жительства потребителя, если контрагент потребителя (профессиональная сторона)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стран, включая территорию страны места жительства потребителя, при условии, что договор связан с такой деятельностью профессиональной стороны.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proofErr w:type="gramStart"/>
      <w:r w:rsidRPr="00CA4ADB">
        <w:rPr>
          <w:sz w:val="25"/>
          <w:szCs w:val="25"/>
        </w:rPr>
        <w:t>В случаях, не предусмотренных </w:t>
      </w:r>
      <w:hyperlink r:id="rId5" w:history="1">
        <w:r w:rsidRPr="00CA4ADB">
          <w:rPr>
            <w:rStyle w:val="a3"/>
            <w:sz w:val="25"/>
            <w:szCs w:val="25"/>
          </w:rPr>
          <w:t>пунктом 1</w:t>
        </w:r>
      </w:hyperlink>
      <w:r w:rsidRPr="00CA4ADB">
        <w:rPr>
          <w:sz w:val="25"/>
          <w:szCs w:val="25"/>
        </w:rPr>
        <w:t> указанной статьи, выбор права, подлежащего применению к договору с участием потребителя, не может повлечь за собой лишение потребителя защиты его прав, предоставляемой императивными нормами той страны, право которой применялось бы к этому договору при отсутствии соглашения сторон о выборе права (пункт 4 статьи 1212 ГК РФ).</w:t>
      </w:r>
      <w:proofErr w:type="gramEnd"/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 xml:space="preserve">Таким образом, независимо от того, что соглашением сторон (договором присоединения) установлено применение к договору права иностранного государства, потребитель-гражданин Российской Федерации защищен императивными (обязательными) нормами Закона Российской Федерации о защите прав потребителей, официальный </w:t>
      </w:r>
      <w:proofErr w:type="gramStart"/>
      <w:r w:rsidRPr="00CA4ADB">
        <w:rPr>
          <w:sz w:val="25"/>
          <w:szCs w:val="25"/>
        </w:rPr>
        <w:t>текст</w:t>
      </w:r>
      <w:proofErr w:type="gramEnd"/>
      <w:r w:rsidRPr="00CA4ADB">
        <w:rPr>
          <w:sz w:val="25"/>
          <w:szCs w:val="25"/>
        </w:rPr>
        <w:t xml:space="preserve"> которого доступен по указанной </w:t>
      </w:r>
      <w:hyperlink r:id="rId6" w:history="1">
        <w:r w:rsidRPr="00CA4ADB">
          <w:rPr>
            <w:rStyle w:val="a3"/>
            <w:sz w:val="25"/>
            <w:szCs w:val="25"/>
          </w:rPr>
          <w:t>ссылке</w:t>
        </w:r>
      </w:hyperlink>
      <w:r w:rsidRPr="00CA4ADB">
        <w:rPr>
          <w:sz w:val="25"/>
          <w:szCs w:val="25"/>
        </w:rPr>
        <w:t>».</w:t>
      </w:r>
    </w:p>
    <w:p w:rsidR="00BC6AE6" w:rsidRPr="00CA4ADB" w:rsidRDefault="00BC6AE6" w:rsidP="00BC6AE6">
      <w:pPr>
        <w:tabs>
          <w:tab w:val="left" w:pos="6870"/>
        </w:tabs>
        <w:jc w:val="both"/>
        <w:rPr>
          <w:sz w:val="25"/>
          <w:szCs w:val="25"/>
        </w:rPr>
      </w:pPr>
      <w:r w:rsidRPr="00CA4ADB">
        <w:rPr>
          <w:sz w:val="25"/>
          <w:szCs w:val="25"/>
        </w:rPr>
        <w:t>Также напоминаем, что для получения консультаций, помощи в составлении претензий потребители могут обратиться по своему месту жительства в </w:t>
      </w:r>
      <w:hyperlink r:id="rId7" w:history="1">
        <w:r w:rsidRPr="00CA4ADB">
          <w:rPr>
            <w:rStyle w:val="a3"/>
            <w:sz w:val="25"/>
            <w:szCs w:val="25"/>
          </w:rPr>
          <w:t>консультационные центры и пункты</w:t>
        </w:r>
      </w:hyperlink>
      <w:r w:rsidRPr="00CA4ADB">
        <w:rPr>
          <w:sz w:val="25"/>
          <w:szCs w:val="25"/>
        </w:rPr>
        <w:t>, а также в </w:t>
      </w:r>
      <w:hyperlink r:id="rId8" w:history="1">
        <w:r w:rsidRPr="00CA4ADB">
          <w:rPr>
            <w:rStyle w:val="a3"/>
            <w:sz w:val="25"/>
            <w:szCs w:val="25"/>
          </w:rPr>
          <w:t>общественные приемные</w:t>
        </w:r>
      </w:hyperlink>
      <w:r w:rsidRPr="00CA4ADB">
        <w:rPr>
          <w:sz w:val="25"/>
          <w:szCs w:val="25"/>
        </w:rPr>
        <w:t xml:space="preserve"> при Управлениях </w:t>
      </w:r>
      <w:proofErr w:type="spellStart"/>
      <w:r w:rsidRPr="00CA4ADB">
        <w:rPr>
          <w:sz w:val="25"/>
          <w:szCs w:val="25"/>
        </w:rPr>
        <w:t>Роспотребнадзора</w:t>
      </w:r>
      <w:proofErr w:type="spellEnd"/>
      <w:r w:rsidRPr="00CA4ADB">
        <w:rPr>
          <w:sz w:val="25"/>
          <w:szCs w:val="25"/>
        </w:rPr>
        <w:t xml:space="preserve"> по субъектам Российской Федерации.</w:t>
      </w:r>
    </w:p>
    <w:p w:rsidR="00BC6AE6" w:rsidRPr="00621B70" w:rsidRDefault="00BC6AE6" w:rsidP="00BC6AE6">
      <w:pPr>
        <w:tabs>
          <w:tab w:val="left" w:pos="6870"/>
        </w:tabs>
        <w:jc w:val="both"/>
        <w:rPr>
          <w:b/>
          <w:sz w:val="25"/>
          <w:szCs w:val="25"/>
        </w:rPr>
      </w:pPr>
    </w:p>
    <w:p w:rsidR="00BC6AE6" w:rsidRPr="00AC4518" w:rsidRDefault="00BC6AE6" w:rsidP="00BC6A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BC6AE6" w:rsidRPr="00AC4518" w:rsidRDefault="00BC6AE6" w:rsidP="00BC6A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BC6AE6" w:rsidRPr="00AC4518" w:rsidRDefault="00BC6AE6" w:rsidP="00BC6A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BC6AE6" w:rsidRPr="00AC4518" w:rsidRDefault="00BC6AE6" w:rsidP="00BC6AE6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9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BC6AE6" w:rsidRDefault="00BC6AE6" w:rsidP="00BC6AE6">
      <w:pPr>
        <w:tabs>
          <w:tab w:val="left" w:pos="2469"/>
        </w:tabs>
        <w:jc w:val="right"/>
        <w:rPr>
          <w:sz w:val="24"/>
          <w:szCs w:val="24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E6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C6AE6"/>
    <w:rsid w:val="00BF0994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E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6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region/structure/str_uprav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potrebnadzor.ru/region/structure/str_fguz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1451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E60F455749BBE4CD8E583756F52DE0C157C02D7E0AFBEBDC171ECB42CCEFD0BF721D5646C52FA9237EF143D48EC3BB1F8F786Fc6y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d.ru/foreign_policy/international_contracts/2_contract" TargetMode="External"/><Relationship Id="rId9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Company>Home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2021-04-06T01:04:00Z</dcterms:created>
  <dcterms:modified xsi:type="dcterms:W3CDTF">2021-04-06T01:04:00Z</dcterms:modified>
</cp:coreProperties>
</file>