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9" w:rsidRPr="002240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>сведения о границах городов: Майкоп, Улан-Удэ, Горно-Алтайск, Элиста, Якутск, Казань, Ижевск, Абакан, Грозный, Чебоксары, Барнаул, Краснодар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,В</w:t>
      </w:r>
      <w:proofErr w:type="gramEnd"/>
      <w:r w:rsidR="00B87E32" w:rsidRPr="00B87E32">
        <w:rPr>
          <w:rFonts w:ascii="Times New Roman" w:hAnsi="Times New Roman" w:cs="Times New Roman"/>
          <w:sz w:val="28"/>
          <w:szCs w:val="24"/>
        </w:rPr>
        <w:t>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</w:p>
    <w:p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B87E32" w:rsidRPr="002240D9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>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там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</w:t>
      </w:r>
      <w:r w:rsidR="00B87E32">
        <w:rPr>
          <w:rFonts w:ascii="Times New Roman" w:hAnsi="Times New Roman" w:cs="Times New Roman"/>
          <w:sz w:val="28"/>
          <w:szCs w:val="24"/>
        </w:rPr>
        <w:lastRenderedPageBreak/>
        <w:t xml:space="preserve">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плананаселенного пункта, а также утверждение или изменение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 xml:space="preserve">ам.Такие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7D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7D7627"/>
    <w:rsid w:val="00875421"/>
    <w:rsid w:val="008F6A7D"/>
    <w:rsid w:val="00920A27"/>
    <w:rsid w:val="009565F6"/>
    <w:rsid w:val="009F197F"/>
    <w:rsid w:val="00A37B14"/>
    <w:rsid w:val="00A97AD9"/>
    <w:rsid w:val="00B069B0"/>
    <w:rsid w:val="00B87E32"/>
    <w:rsid w:val="00C23A7C"/>
    <w:rsid w:val="00D22A7D"/>
    <w:rsid w:val="00E6432C"/>
    <w:rsid w:val="00E759ED"/>
    <w:rsid w:val="00EC40A9"/>
    <w:rsid w:val="00EF2F9C"/>
    <w:rsid w:val="00E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19DA-C700-4CC3-BC42-6D6BDE9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2020-02-26T06:21:00Z</dcterms:created>
  <dcterms:modified xsi:type="dcterms:W3CDTF">2020-02-26T06:21:00Z</dcterms:modified>
</cp:coreProperties>
</file>